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5C1A" w:rsidRPr="00165C1A" w:rsidRDefault="00165C1A" w:rsidP="00165C1A">
      <w:pPr>
        <w:shd w:val="clear" w:color="auto" w:fill="FFFFFF"/>
        <w:spacing w:before="300" w:after="150" w:line="540" w:lineRule="atLeast"/>
        <w:ind w:left="450"/>
        <w:textAlignment w:val="baseline"/>
        <w:outlineLvl w:val="2"/>
        <w:rPr>
          <w:rFonts w:ascii="inherit" w:eastAsia="Times New Roman" w:hAnsi="inherit" w:cs="Arial"/>
          <w:color w:val="094153"/>
          <w:sz w:val="36"/>
          <w:szCs w:val="36"/>
          <w:lang w:eastAsia="ru-RU"/>
        </w:rPr>
      </w:pPr>
      <w:r w:rsidRPr="00165C1A">
        <w:rPr>
          <w:rFonts w:ascii="inherit" w:eastAsia="Times New Roman" w:hAnsi="inherit" w:cs="Arial"/>
          <w:color w:val="094153"/>
          <w:sz w:val="36"/>
          <w:szCs w:val="36"/>
          <w:lang w:eastAsia="ru-RU"/>
        </w:rPr>
        <w:t> Способы финансирования дефицита государственного бюджета</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Дефицит государственного бюджета может быть профинансирован тремя способами: 1) за счет эмиссии денег; 2) за счет займа у населения своей страны (внутренний долг); 3) за счет займа у других стран или международных финансовых организаций (внешний долг)</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Первый способ называется эмиссионным или денежным способом, а второй и третий – долговым способом финансирования дефицита государственного бюджета. Рассмотрим достоинства и недостатки каждого из способов.</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i/>
          <w:iCs/>
          <w:color w:val="094153"/>
          <w:sz w:val="24"/>
          <w:szCs w:val="24"/>
          <w:lang w:eastAsia="ru-RU"/>
        </w:rPr>
        <w:t>Эмиссионный способ финансирования дефицита государственного</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i/>
          <w:iCs/>
          <w:color w:val="094153"/>
          <w:sz w:val="24"/>
          <w:szCs w:val="24"/>
          <w:lang w:eastAsia="ru-RU"/>
        </w:rPr>
        <w:t>бюджета. </w:t>
      </w:r>
      <w:r w:rsidRPr="00165C1A">
        <w:rPr>
          <w:rFonts w:ascii="inherit" w:eastAsia="Times New Roman" w:hAnsi="inherit" w:cs="Arial"/>
          <w:color w:val="094153"/>
          <w:sz w:val="24"/>
          <w:szCs w:val="24"/>
          <w:lang w:eastAsia="ru-RU"/>
        </w:rPr>
        <w:t>Этот способ заключается в том, что государство (Центральный банк) увеличивает денежную массу, т.е. выпускает в обращение дополнительные деньги, с помощью которых покрывает превышение своих расходов над доходами.</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i/>
          <w:iCs/>
          <w:color w:val="094153"/>
          <w:sz w:val="24"/>
          <w:szCs w:val="24"/>
          <w:lang w:eastAsia="ru-RU"/>
        </w:rPr>
        <w:t>Достоинства</w:t>
      </w:r>
      <w:r w:rsidRPr="00165C1A">
        <w:rPr>
          <w:rFonts w:ascii="inherit" w:eastAsia="Times New Roman" w:hAnsi="inherit" w:cs="Arial"/>
          <w:color w:val="094153"/>
          <w:sz w:val="24"/>
          <w:szCs w:val="24"/>
          <w:lang w:eastAsia="ru-RU"/>
        </w:rPr>
        <w:t> эмиссионного способа финансирования:</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Рост денежной массы является фактором увеличения совокупного спроса и,</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следовательно, объема производства. Увеличение предложения денег обусловливает на денежном рынке снижение ставки процента (удешевление цены кредита), что стимулирует инвестиции и обеспечивает рост совокупных расходов и совокупного выпуска. Эта мера, таким образом, оказывает стимулирующее воздействие на экономику и может служит средством выхода из состояния рецессии</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Это мера, которую можно осуществить быстро. Рост денежной массы</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xml:space="preserve">происходит, </w:t>
      </w:r>
      <w:proofErr w:type="gramStart"/>
      <w:r w:rsidRPr="00165C1A">
        <w:rPr>
          <w:rFonts w:ascii="inherit" w:eastAsia="Times New Roman" w:hAnsi="inherit" w:cs="Arial"/>
          <w:color w:val="094153"/>
          <w:sz w:val="24"/>
          <w:szCs w:val="24"/>
          <w:lang w:eastAsia="ru-RU"/>
        </w:rPr>
        <w:t>либо</w:t>
      </w:r>
      <w:proofErr w:type="gramEnd"/>
      <w:r w:rsidRPr="00165C1A">
        <w:rPr>
          <w:rFonts w:ascii="inherit" w:eastAsia="Times New Roman" w:hAnsi="inherit" w:cs="Arial"/>
          <w:color w:val="094153"/>
          <w:sz w:val="24"/>
          <w:szCs w:val="24"/>
          <w:lang w:eastAsia="ru-RU"/>
        </w:rPr>
        <w:t xml:space="preserve"> когда Центральный банк проводит операции на открытом рынке и покупает государственные ценные бумаги и, оплачивая продавцам (домохозяйствам и фирмам) стоимость этих ценных бумаг, выпускает в обращение дополнительные деньги (такую покупку он может сделать в любой момент и в любом необходимом объеме), либо за счет прямой эмиссии денег (на любую необходимую сумму).</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i/>
          <w:iCs/>
          <w:color w:val="094153"/>
          <w:sz w:val="24"/>
          <w:szCs w:val="24"/>
          <w:lang w:eastAsia="ru-RU"/>
        </w:rPr>
        <w:t>Недостатки</w:t>
      </w:r>
      <w:r w:rsidRPr="00165C1A">
        <w:rPr>
          <w:rFonts w:ascii="inherit" w:eastAsia="Times New Roman" w:hAnsi="inherit" w:cs="Arial"/>
          <w:color w:val="094153"/>
          <w:sz w:val="24"/>
          <w:szCs w:val="24"/>
          <w:lang w:eastAsia="ru-RU"/>
        </w:rPr>
        <w:t>:</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Главный недостаток эмиссионного способа финансирования дефицита</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государственного бюджета состоит в том, что в долгосрочном периоде увеличение денежной массы ведет к инфляции, т.е. это инфляционный способ финансирования.</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Этот метод может оказать дестабилизирующее воздействие на экономику в</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lastRenderedPageBreak/>
        <w:t xml:space="preserve">период перегрева. Снижение ставки процента в результате роста денежной массы </w:t>
      </w:r>
      <w:proofErr w:type="gramStart"/>
      <w:r w:rsidRPr="00165C1A">
        <w:rPr>
          <w:rFonts w:ascii="inherit" w:eastAsia="Times New Roman" w:hAnsi="inherit" w:cs="Arial"/>
          <w:color w:val="094153"/>
          <w:sz w:val="24"/>
          <w:szCs w:val="24"/>
          <w:lang w:eastAsia="ru-RU"/>
        </w:rPr>
        <w:t>стимулирует  увеличение</w:t>
      </w:r>
      <w:proofErr w:type="gramEnd"/>
      <w:r w:rsidRPr="00165C1A">
        <w:rPr>
          <w:rFonts w:ascii="inherit" w:eastAsia="Times New Roman" w:hAnsi="inherit" w:cs="Arial"/>
          <w:color w:val="094153"/>
          <w:sz w:val="24"/>
          <w:szCs w:val="24"/>
          <w:lang w:eastAsia="ru-RU"/>
        </w:rPr>
        <w:t xml:space="preserve"> совокупных расходов (прежде всего инвестиционных) и ведет к еще большему росту деловой активности, увеличивая инфляционный разрыв и ускоряя инфляцию.</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i/>
          <w:iCs/>
          <w:color w:val="094153"/>
          <w:sz w:val="24"/>
          <w:szCs w:val="24"/>
          <w:lang w:eastAsia="ru-RU"/>
        </w:rPr>
        <w:t>             Финансирование дефицита государственного бюджета за счет внутреннего долга. </w:t>
      </w:r>
      <w:r w:rsidRPr="00165C1A">
        <w:rPr>
          <w:rFonts w:ascii="inherit" w:eastAsia="Times New Roman" w:hAnsi="inherit" w:cs="Arial"/>
          <w:color w:val="094153"/>
          <w:sz w:val="24"/>
          <w:szCs w:val="24"/>
          <w:lang w:eastAsia="ru-RU"/>
        </w:rPr>
        <w:t>Этот способ заключается в том, что государство выпускает ценные бумаги (государственные облигации и казначейские векселя), продает их населению (домохозяйствам и фирмам) и полученные средства использует для финансирования превышения государственных расходов над доходами.</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i/>
          <w:iCs/>
          <w:color w:val="094153"/>
          <w:sz w:val="24"/>
          <w:szCs w:val="24"/>
          <w:lang w:eastAsia="ru-RU"/>
        </w:rPr>
        <w:t>Достоинства</w:t>
      </w:r>
      <w:r w:rsidRPr="00165C1A">
        <w:rPr>
          <w:rFonts w:ascii="inherit" w:eastAsia="Times New Roman" w:hAnsi="inherit" w:cs="Arial"/>
          <w:color w:val="094153"/>
          <w:sz w:val="24"/>
          <w:szCs w:val="24"/>
          <w:lang w:eastAsia="ru-RU"/>
        </w:rPr>
        <w:t> этого способа финансирования:</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Он не ведет к инфляции, так как денежная масса не изменяется,</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xml:space="preserve">т.е. это </w:t>
      </w:r>
      <w:proofErr w:type="spellStart"/>
      <w:r w:rsidRPr="00165C1A">
        <w:rPr>
          <w:rFonts w:ascii="inherit" w:eastAsia="Times New Roman" w:hAnsi="inherit" w:cs="Arial"/>
          <w:color w:val="094153"/>
          <w:sz w:val="24"/>
          <w:szCs w:val="24"/>
          <w:lang w:eastAsia="ru-RU"/>
        </w:rPr>
        <w:t>неинфляционный</w:t>
      </w:r>
      <w:proofErr w:type="spellEnd"/>
      <w:r w:rsidRPr="00165C1A">
        <w:rPr>
          <w:rFonts w:ascii="inherit" w:eastAsia="Times New Roman" w:hAnsi="inherit" w:cs="Arial"/>
          <w:color w:val="094153"/>
          <w:sz w:val="24"/>
          <w:szCs w:val="24"/>
          <w:lang w:eastAsia="ru-RU"/>
        </w:rPr>
        <w:t xml:space="preserve"> способ финансирования</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Это достаточно оперативный способ, поскольку выпуск и размещение</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xml:space="preserve">(продажа) государственных ценных бумаг можно обеспечить быстро. Население в развитых странах с удовольствием покупает государственные ценные бумаги, поскольку они </w:t>
      </w:r>
      <w:proofErr w:type="spellStart"/>
      <w:r w:rsidRPr="00165C1A">
        <w:rPr>
          <w:rFonts w:ascii="inherit" w:eastAsia="Times New Roman" w:hAnsi="inherit" w:cs="Arial"/>
          <w:color w:val="094153"/>
          <w:sz w:val="24"/>
          <w:szCs w:val="24"/>
          <w:lang w:eastAsia="ru-RU"/>
        </w:rPr>
        <w:t>высоколиквидны</w:t>
      </w:r>
      <w:proofErr w:type="spellEnd"/>
      <w:r w:rsidRPr="00165C1A">
        <w:rPr>
          <w:rFonts w:ascii="inherit" w:eastAsia="Times New Roman" w:hAnsi="inherit" w:cs="Arial"/>
          <w:color w:val="094153"/>
          <w:sz w:val="24"/>
          <w:szCs w:val="24"/>
          <w:lang w:eastAsia="ru-RU"/>
        </w:rPr>
        <w:t xml:space="preserve"> (их легко и быстро можно продать – это «почти-деньги»), высоконадежны (гарантированы государством, которое пользуется доверием) и достаточно доходны (по ним платится процент).</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i/>
          <w:iCs/>
          <w:color w:val="094153"/>
          <w:sz w:val="24"/>
          <w:szCs w:val="24"/>
          <w:lang w:eastAsia="ru-RU"/>
        </w:rPr>
        <w:t>Недостатки</w:t>
      </w:r>
      <w:r w:rsidRPr="00165C1A">
        <w:rPr>
          <w:rFonts w:ascii="inherit" w:eastAsia="Times New Roman" w:hAnsi="inherit" w:cs="Arial"/>
          <w:color w:val="094153"/>
          <w:sz w:val="24"/>
          <w:szCs w:val="24"/>
          <w:lang w:eastAsia="ru-RU"/>
        </w:rPr>
        <w:t>:</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По долгам надо платить. Очевидно, что население не будет покупать</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государственные облигации, если они не будут приносить дохода, т.е. если по ним не будет выплачиваться процент. Выплата процентов по государственным облигациям называется «обслуживанием государственного долга». Чем больше государственный долг (т.е. чем больше выпущено государственных облигаций), тем большие суммы должны идти на обслуживание долга. А выплата процентов по государственным облигациям является частью расходов государственного бюджета, и чем они больше, тем больше дефицит бюджета. Получается порочный круг: государство выпускает облигации для финансирования дефицита государственного бюджета, выплата процентов по которым провоцирует еще больший дефицит.</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Парадоксально, но этот способ в долгосрочном периоде не является</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proofErr w:type="spellStart"/>
      <w:r w:rsidRPr="00165C1A">
        <w:rPr>
          <w:rFonts w:ascii="inherit" w:eastAsia="Times New Roman" w:hAnsi="inherit" w:cs="Arial"/>
          <w:color w:val="094153"/>
          <w:sz w:val="24"/>
          <w:szCs w:val="24"/>
          <w:lang w:eastAsia="ru-RU"/>
        </w:rPr>
        <w:t>неинфляционным</w:t>
      </w:r>
      <w:proofErr w:type="spellEnd"/>
      <w:r w:rsidRPr="00165C1A">
        <w:rPr>
          <w:rFonts w:ascii="inherit" w:eastAsia="Times New Roman" w:hAnsi="inherit" w:cs="Arial"/>
          <w:color w:val="094153"/>
          <w:sz w:val="24"/>
          <w:szCs w:val="24"/>
          <w:lang w:eastAsia="ru-RU"/>
        </w:rPr>
        <w:t xml:space="preserve">. Два американских экономиста Томас </w:t>
      </w:r>
      <w:proofErr w:type="spellStart"/>
      <w:r w:rsidRPr="00165C1A">
        <w:rPr>
          <w:rFonts w:ascii="inherit" w:eastAsia="Times New Roman" w:hAnsi="inherit" w:cs="Arial"/>
          <w:color w:val="094153"/>
          <w:sz w:val="24"/>
          <w:szCs w:val="24"/>
          <w:lang w:eastAsia="ru-RU"/>
        </w:rPr>
        <w:t>Саржент</w:t>
      </w:r>
      <w:proofErr w:type="spellEnd"/>
      <w:r w:rsidRPr="00165C1A">
        <w:rPr>
          <w:rFonts w:ascii="inherit" w:eastAsia="Times New Roman" w:hAnsi="inherit" w:cs="Arial"/>
          <w:color w:val="094153"/>
          <w:sz w:val="24"/>
          <w:szCs w:val="24"/>
          <w:lang w:eastAsia="ru-RU"/>
        </w:rPr>
        <w:t xml:space="preserve"> (лауреат Нобелевской премии) и Нейл Уоллес доказали, что долговое финансирование дефицита </w:t>
      </w:r>
      <w:r w:rsidRPr="00165C1A">
        <w:rPr>
          <w:rFonts w:ascii="inherit" w:eastAsia="Times New Roman" w:hAnsi="inherit" w:cs="Arial"/>
          <w:color w:val="094153"/>
          <w:sz w:val="24"/>
          <w:szCs w:val="24"/>
          <w:lang w:eastAsia="ru-RU"/>
        </w:rPr>
        <w:lastRenderedPageBreak/>
        <w:t xml:space="preserve">государственного бюджета в долгосрочном периоде может привести к еще более высокой инфляции, чем эмиссионное. Эта идея получила в экономической литературе название «теоремы </w:t>
      </w:r>
      <w:proofErr w:type="spellStart"/>
      <w:r w:rsidRPr="00165C1A">
        <w:rPr>
          <w:rFonts w:ascii="inherit" w:eastAsia="Times New Roman" w:hAnsi="inherit" w:cs="Arial"/>
          <w:color w:val="094153"/>
          <w:sz w:val="24"/>
          <w:szCs w:val="24"/>
          <w:lang w:eastAsia="ru-RU"/>
        </w:rPr>
        <w:t>Саржента</w:t>
      </w:r>
      <w:proofErr w:type="spellEnd"/>
      <w:r w:rsidRPr="00165C1A">
        <w:rPr>
          <w:rFonts w:ascii="inherit" w:eastAsia="Times New Roman" w:hAnsi="inherit" w:cs="Arial"/>
          <w:color w:val="094153"/>
          <w:sz w:val="24"/>
          <w:szCs w:val="24"/>
          <w:lang w:eastAsia="ru-RU"/>
        </w:rPr>
        <w:t>-Уоллеса».  Дело в том, что государство, финансируя дефицит бюджета за счет внутреннего займа (выпуска государственных облигаций), как правило, строит финансовую пирамиду (рефинансирует долг), т.е. расплачивается с прошлыми долгами займом в настоящем, который нужно будет возвращать в будущем, причем возврат долга включает как саму сумму долга, так и проценты по долгу. Если государство будет использовать только этот метод финансирования дефицита государственного бюджета, то может наступить момент в будущем, когда дефицит будет столь велик (т.е. будет выпущено такое количество государственных облигаций и расходы по обслуживанию государственного долга будут столь значительны), что его финансирование долговым способом будет невозможным, и придется использовать эмиссионное финансирование. Но при этом величина эмиссии будет гораздо больше, чем если проводить ее в разумных размерах (небольшими порциями) каждый год. Это может привести к всплеску инфляции и даже обусловить высокую инфляцию.</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xml:space="preserve">Как показали Сарджент и Уоллес, чтобы избежать высокой инфляции, </w:t>
      </w:r>
      <w:proofErr w:type="gramStart"/>
      <w:r w:rsidRPr="00165C1A">
        <w:rPr>
          <w:rFonts w:ascii="inherit" w:eastAsia="Times New Roman" w:hAnsi="inherit" w:cs="Arial"/>
          <w:color w:val="094153"/>
          <w:sz w:val="24"/>
          <w:szCs w:val="24"/>
          <w:lang w:eastAsia="ru-RU"/>
        </w:rPr>
        <w:t>разумнее  не</w:t>
      </w:r>
      <w:proofErr w:type="gramEnd"/>
      <w:r w:rsidRPr="00165C1A">
        <w:rPr>
          <w:rFonts w:ascii="inherit" w:eastAsia="Times New Roman" w:hAnsi="inherit" w:cs="Arial"/>
          <w:color w:val="094153"/>
          <w:sz w:val="24"/>
          <w:szCs w:val="24"/>
          <w:lang w:eastAsia="ru-RU"/>
        </w:rPr>
        <w:t xml:space="preserve"> отказываться от эмиссионного способа финансирования, а использовать его в сочетании с долговым.</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Существенным недостатком долгового способа финансирования является</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xml:space="preserve">«эффект вытеснения» частных инвестиций. Мы уже рассмотрели его механизм при анализе недостатков фискальной политики с точки зрения воздействия на экономику увеличения расходов бюджета (государственных закупок и трансфертов) и сокращения доходов бюджета (налогов), что порождает дефицит бюджета. Теперь рассмотрим экономический смысл «эффекта вытеснения» с точки зрения финансирования этого дефицита. Этот эффект заключается в том, что увеличение количества государственных облигаций на рынке ценных бумаг приводит к тому, что часть сбережений домохозяйств расходуется на покупку государственных ценных бумаг (что обеспечивает финансирование дефицита государственного бюджета, т.е. идет на непроизводственные цели), а не на покупку ценных бумаг частных фирм (что обеспечивает расширение производства и экономический рост). Это сокращает финансовые ресурсы частных фирм и, следовательно, инвестиции. В результате объем производства сокращается. Экономический механизм «эффекта вытеснения» следующий: увеличение количества государственных облигаций </w:t>
      </w:r>
      <w:r w:rsidRPr="00165C1A">
        <w:rPr>
          <w:rFonts w:ascii="inherit" w:eastAsia="Times New Roman" w:hAnsi="inherit" w:cs="Arial"/>
          <w:color w:val="094153"/>
          <w:sz w:val="24"/>
          <w:szCs w:val="24"/>
          <w:lang w:eastAsia="ru-RU"/>
        </w:rPr>
        <w:lastRenderedPageBreak/>
        <w:t>ведет к росту предложения облигаций на рынке ценных бумаг. Рост предложения облигаций приводит к снижению их рыночной цены, а цена облигации находится в обратной зависимости со ставкой процента, следовательно, ставка процента растет. Рост ставки процента обусловливает сокращение частных инвестиций и сокращение объема выпуска.</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xml:space="preserve">· Долговой способ </w:t>
      </w:r>
      <w:proofErr w:type="gramStart"/>
      <w:r w:rsidRPr="00165C1A">
        <w:rPr>
          <w:rFonts w:ascii="inherit" w:eastAsia="Times New Roman" w:hAnsi="inherit" w:cs="Arial"/>
          <w:color w:val="094153"/>
          <w:sz w:val="24"/>
          <w:szCs w:val="24"/>
          <w:lang w:eastAsia="ru-RU"/>
        </w:rPr>
        <w:t>финансирования  дефицита</w:t>
      </w:r>
      <w:proofErr w:type="gramEnd"/>
      <w:r w:rsidRPr="00165C1A">
        <w:rPr>
          <w:rFonts w:ascii="inherit" w:eastAsia="Times New Roman" w:hAnsi="inherit" w:cs="Arial"/>
          <w:color w:val="094153"/>
          <w:sz w:val="24"/>
          <w:szCs w:val="24"/>
          <w:lang w:eastAsia="ru-RU"/>
        </w:rPr>
        <w:t xml:space="preserve"> государственного бюджета</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может привести к дефициту платежного баланса. Не случайно в середине 80-х годов в США появился термин «дефициты-близнецы» («</w:t>
      </w:r>
      <w:proofErr w:type="spellStart"/>
      <w:r w:rsidRPr="00165C1A">
        <w:rPr>
          <w:rFonts w:ascii="inherit" w:eastAsia="Times New Roman" w:hAnsi="inherit" w:cs="Arial"/>
          <w:color w:val="094153"/>
          <w:sz w:val="24"/>
          <w:szCs w:val="24"/>
          <w:lang w:eastAsia="ru-RU"/>
        </w:rPr>
        <w:t>twin-deficits</w:t>
      </w:r>
      <w:proofErr w:type="spellEnd"/>
      <w:r w:rsidRPr="00165C1A">
        <w:rPr>
          <w:rFonts w:ascii="inherit" w:eastAsia="Times New Roman" w:hAnsi="inherit" w:cs="Arial"/>
          <w:color w:val="094153"/>
          <w:sz w:val="24"/>
          <w:szCs w:val="24"/>
          <w:lang w:eastAsia="ru-RU"/>
        </w:rPr>
        <w:t>»). Эти два вида дефицитов могут быть взаимообусловлены. </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xml:space="preserve">Вспомним тождество инъекций и </w:t>
      </w:r>
      <w:proofErr w:type="gramStart"/>
      <w:r w:rsidRPr="00165C1A">
        <w:rPr>
          <w:rFonts w:ascii="inherit" w:eastAsia="Times New Roman" w:hAnsi="inherit" w:cs="Arial"/>
          <w:color w:val="094153"/>
          <w:sz w:val="24"/>
          <w:szCs w:val="24"/>
          <w:lang w:eastAsia="ru-RU"/>
        </w:rPr>
        <w:t>изъятий:   </w:t>
      </w:r>
      <w:proofErr w:type="gramEnd"/>
      <w:r w:rsidRPr="00165C1A">
        <w:rPr>
          <w:rFonts w:ascii="inherit" w:eastAsia="Times New Roman" w:hAnsi="inherit" w:cs="Arial"/>
          <w:color w:val="094153"/>
          <w:sz w:val="24"/>
          <w:szCs w:val="24"/>
          <w:lang w:eastAsia="ru-RU"/>
        </w:rPr>
        <w:t>     </w:t>
      </w:r>
      <w:r w:rsidRPr="00165C1A">
        <w:rPr>
          <w:rFonts w:ascii="inherit" w:eastAsia="Times New Roman" w:hAnsi="inherit" w:cs="Arial"/>
          <w:i/>
          <w:iCs/>
          <w:color w:val="094153"/>
          <w:sz w:val="24"/>
          <w:szCs w:val="24"/>
          <w:lang w:eastAsia="ru-RU"/>
        </w:rPr>
        <w:t>I + G + </w:t>
      </w:r>
      <w:proofErr w:type="spellStart"/>
      <w:r w:rsidRPr="00165C1A">
        <w:rPr>
          <w:rFonts w:ascii="inherit" w:eastAsia="Times New Roman" w:hAnsi="inherit" w:cs="Arial"/>
          <w:i/>
          <w:iCs/>
          <w:color w:val="094153"/>
          <w:sz w:val="24"/>
          <w:szCs w:val="24"/>
          <w:lang w:eastAsia="ru-RU"/>
        </w:rPr>
        <w:t>Ex</w:t>
      </w:r>
      <w:proofErr w:type="spellEnd"/>
      <w:r w:rsidRPr="00165C1A">
        <w:rPr>
          <w:rFonts w:ascii="inherit" w:eastAsia="Times New Roman" w:hAnsi="inherit" w:cs="Arial"/>
          <w:i/>
          <w:iCs/>
          <w:color w:val="094153"/>
          <w:sz w:val="24"/>
          <w:szCs w:val="24"/>
          <w:lang w:eastAsia="ru-RU"/>
        </w:rPr>
        <w:t> = S + T + </w:t>
      </w:r>
      <w:proofErr w:type="spellStart"/>
      <w:r w:rsidRPr="00165C1A">
        <w:rPr>
          <w:rFonts w:ascii="inherit" w:eastAsia="Times New Roman" w:hAnsi="inherit" w:cs="Arial"/>
          <w:i/>
          <w:iCs/>
          <w:color w:val="094153"/>
          <w:sz w:val="24"/>
          <w:szCs w:val="24"/>
          <w:lang w:eastAsia="ru-RU"/>
        </w:rPr>
        <w:t>Im</w:t>
      </w:r>
      <w:proofErr w:type="spellEnd"/>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xml:space="preserve">где I – инвестиции, G – государственные закупки, </w:t>
      </w:r>
      <w:proofErr w:type="spellStart"/>
      <w:r w:rsidRPr="00165C1A">
        <w:rPr>
          <w:rFonts w:ascii="inherit" w:eastAsia="Times New Roman" w:hAnsi="inherit" w:cs="Arial"/>
          <w:color w:val="094153"/>
          <w:sz w:val="24"/>
          <w:szCs w:val="24"/>
          <w:lang w:eastAsia="ru-RU"/>
        </w:rPr>
        <w:t>Ex</w:t>
      </w:r>
      <w:proofErr w:type="spellEnd"/>
      <w:r w:rsidRPr="00165C1A">
        <w:rPr>
          <w:rFonts w:ascii="inherit" w:eastAsia="Times New Roman" w:hAnsi="inherit" w:cs="Arial"/>
          <w:color w:val="094153"/>
          <w:sz w:val="24"/>
          <w:szCs w:val="24"/>
          <w:lang w:eastAsia="ru-RU"/>
        </w:rPr>
        <w:t xml:space="preserve"> – экспорт, S – сбережения, T – чистые налоги, </w:t>
      </w:r>
      <w:proofErr w:type="spellStart"/>
      <w:r w:rsidRPr="00165C1A">
        <w:rPr>
          <w:rFonts w:ascii="inherit" w:eastAsia="Times New Roman" w:hAnsi="inherit" w:cs="Arial"/>
          <w:color w:val="094153"/>
          <w:sz w:val="24"/>
          <w:szCs w:val="24"/>
          <w:lang w:eastAsia="ru-RU"/>
        </w:rPr>
        <w:t>Im</w:t>
      </w:r>
      <w:proofErr w:type="spellEnd"/>
      <w:r w:rsidRPr="00165C1A">
        <w:rPr>
          <w:rFonts w:ascii="inherit" w:eastAsia="Times New Roman" w:hAnsi="inherit" w:cs="Arial"/>
          <w:color w:val="094153"/>
          <w:sz w:val="24"/>
          <w:szCs w:val="24"/>
          <w:lang w:eastAsia="ru-RU"/>
        </w:rPr>
        <w:t xml:space="preserve"> – импорт.</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proofErr w:type="gramStart"/>
      <w:r w:rsidRPr="00165C1A">
        <w:rPr>
          <w:rFonts w:ascii="inherit" w:eastAsia="Times New Roman" w:hAnsi="inherit" w:cs="Arial"/>
          <w:color w:val="094153"/>
          <w:sz w:val="24"/>
          <w:szCs w:val="24"/>
          <w:lang w:eastAsia="ru-RU"/>
        </w:rPr>
        <w:t>Перегруппируем:   </w:t>
      </w:r>
      <w:proofErr w:type="gramEnd"/>
      <w:r w:rsidRPr="00165C1A">
        <w:rPr>
          <w:rFonts w:ascii="inherit" w:eastAsia="Times New Roman" w:hAnsi="inherit" w:cs="Arial"/>
          <w:color w:val="094153"/>
          <w:sz w:val="24"/>
          <w:szCs w:val="24"/>
          <w:lang w:eastAsia="ru-RU"/>
        </w:rPr>
        <w:t>                         </w:t>
      </w:r>
      <w:r w:rsidRPr="00165C1A">
        <w:rPr>
          <w:rFonts w:ascii="inherit" w:eastAsia="Times New Roman" w:hAnsi="inherit" w:cs="Arial"/>
          <w:i/>
          <w:iCs/>
          <w:color w:val="094153"/>
          <w:sz w:val="24"/>
          <w:szCs w:val="24"/>
          <w:lang w:eastAsia="ru-RU"/>
        </w:rPr>
        <w:t>(G – Т) = (S – I) + (</w:t>
      </w:r>
      <w:proofErr w:type="spellStart"/>
      <w:r w:rsidRPr="00165C1A">
        <w:rPr>
          <w:rFonts w:ascii="inherit" w:eastAsia="Times New Roman" w:hAnsi="inherit" w:cs="Arial"/>
          <w:i/>
          <w:iCs/>
          <w:color w:val="094153"/>
          <w:sz w:val="24"/>
          <w:szCs w:val="24"/>
          <w:lang w:eastAsia="ru-RU"/>
        </w:rPr>
        <w:t>Im</w:t>
      </w:r>
      <w:proofErr w:type="spellEnd"/>
      <w:r w:rsidRPr="00165C1A">
        <w:rPr>
          <w:rFonts w:ascii="inherit" w:eastAsia="Times New Roman" w:hAnsi="inherit" w:cs="Arial"/>
          <w:i/>
          <w:iCs/>
          <w:color w:val="094153"/>
          <w:sz w:val="24"/>
          <w:szCs w:val="24"/>
          <w:lang w:eastAsia="ru-RU"/>
        </w:rPr>
        <w:t> – </w:t>
      </w:r>
      <w:proofErr w:type="spellStart"/>
      <w:r w:rsidRPr="00165C1A">
        <w:rPr>
          <w:rFonts w:ascii="inherit" w:eastAsia="Times New Roman" w:hAnsi="inherit" w:cs="Arial"/>
          <w:i/>
          <w:iCs/>
          <w:color w:val="094153"/>
          <w:sz w:val="24"/>
          <w:szCs w:val="24"/>
          <w:lang w:eastAsia="ru-RU"/>
        </w:rPr>
        <w:t>Ex</w:t>
      </w:r>
      <w:proofErr w:type="spellEnd"/>
      <w:r w:rsidRPr="00165C1A">
        <w:rPr>
          <w:rFonts w:ascii="inherit" w:eastAsia="Times New Roman" w:hAnsi="inherit" w:cs="Arial"/>
          <w:i/>
          <w:iCs/>
          <w:color w:val="094153"/>
          <w:sz w:val="24"/>
          <w:szCs w:val="24"/>
          <w:lang w:eastAsia="ru-RU"/>
        </w:rPr>
        <w:t>)</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Из этого равенства следует, что при росте дефицита государственного бюджета должны либо увеличиваться сбережения, либо сокращаться инвестиции, либо увеличиваться дефицит торгового баланса. Механизм воздействия роста дефицита государственного бюджета на экономику и финансирования его за счет внутреннего долга уже рассматривался при анализе «эффекта вытеснения» частных инвестиций и выпуска в результате роста ставки процента. Однако наряду с внутренним вытеснением рост ставки процента ведет к вытеснению чистого экспорта, т.е. увеличивает дефицит торгового баланса. Механизм внешнего вытеснения следующий: рост внутренней ставки процента по сравнению с мировой делает ценные бумаги данной страны более доходными, что увеличивает спрос на них со стороны иностранных инвесторов, это в свою очередь повышает спрос на национальную валюту данной страны и ведет к росту обменного курса национальной валюты, делая товары данной страны относительно более дорогими для иностранцев (иностранцы теперь должны обменять большее количество своей валюты, чтобы купить у данной страны то же количество товаров, что и раньше), а импортные товары становятся относительно более дешевыми для отечественных покупателей (которые теперь должны обменять меньшее количество национальной валюты, чтобы купить то же количество импортных товаров), что снижает экспорт и увеличивает импорт, вызывая сокращение чистого экспорта, т.е. обусловливает  дефицит торгового баланса.   </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lastRenderedPageBreak/>
        <w:t>         </w:t>
      </w:r>
      <w:r w:rsidRPr="00165C1A">
        <w:rPr>
          <w:rFonts w:ascii="inherit" w:eastAsia="Times New Roman" w:hAnsi="inherit" w:cs="Arial"/>
          <w:i/>
          <w:iCs/>
          <w:color w:val="094153"/>
          <w:sz w:val="24"/>
          <w:szCs w:val="24"/>
          <w:lang w:eastAsia="ru-RU"/>
        </w:rPr>
        <w:t>Финансирование дефицита государственного бюджета с помощью внешнего долга. </w:t>
      </w:r>
      <w:r w:rsidRPr="00165C1A">
        <w:rPr>
          <w:rFonts w:ascii="inherit" w:eastAsia="Times New Roman" w:hAnsi="inherit" w:cs="Arial"/>
          <w:color w:val="094153"/>
          <w:sz w:val="24"/>
          <w:szCs w:val="24"/>
          <w:lang w:eastAsia="ru-RU"/>
        </w:rPr>
        <w:t>В этом случае дефицит бюджета финансируется за счет займов у других стран или международных финансовых организаций (Международного валютного фонда – МВФ, Мирового банка, Лондонского клуба, Парижского клуба и др.). Т.е. это также вид долгового финансирования, но за счет внешнего заимствования.</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i/>
          <w:iCs/>
          <w:color w:val="094153"/>
          <w:sz w:val="24"/>
          <w:szCs w:val="24"/>
          <w:lang w:eastAsia="ru-RU"/>
        </w:rPr>
        <w:t>Достоинства </w:t>
      </w:r>
      <w:r w:rsidRPr="00165C1A">
        <w:rPr>
          <w:rFonts w:ascii="inherit" w:eastAsia="Times New Roman" w:hAnsi="inherit" w:cs="Arial"/>
          <w:color w:val="094153"/>
          <w:sz w:val="24"/>
          <w:szCs w:val="24"/>
          <w:lang w:eastAsia="ru-RU"/>
        </w:rPr>
        <w:t>подобного метода:</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Возможность получения крупных сумм</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xml:space="preserve">· </w:t>
      </w:r>
      <w:proofErr w:type="spellStart"/>
      <w:r w:rsidRPr="00165C1A">
        <w:rPr>
          <w:rFonts w:ascii="inherit" w:eastAsia="Times New Roman" w:hAnsi="inherit" w:cs="Arial"/>
          <w:color w:val="094153"/>
          <w:sz w:val="24"/>
          <w:szCs w:val="24"/>
          <w:lang w:eastAsia="ru-RU"/>
        </w:rPr>
        <w:t>Неинфляционный</w:t>
      </w:r>
      <w:proofErr w:type="spellEnd"/>
      <w:r w:rsidRPr="00165C1A">
        <w:rPr>
          <w:rFonts w:ascii="inherit" w:eastAsia="Times New Roman" w:hAnsi="inherit" w:cs="Arial"/>
          <w:color w:val="094153"/>
          <w:sz w:val="24"/>
          <w:szCs w:val="24"/>
          <w:lang w:eastAsia="ru-RU"/>
        </w:rPr>
        <w:t xml:space="preserve"> характер</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i/>
          <w:iCs/>
          <w:color w:val="094153"/>
          <w:sz w:val="24"/>
          <w:szCs w:val="24"/>
          <w:lang w:eastAsia="ru-RU"/>
        </w:rPr>
        <w:t>Недостатки</w:t>
      </w:r>
      <w:r w:rsidRPr="00165C1A">
        <w:rPr>
          <w:rFonts w:ascii="inherit" w:eastAsia="Times New Roman" w:hAnsi="inherit" w:cs="Arial"/>
          <w:color w:val="094153"/>
          <w:sz w:val="24"/>
          <w:szCs w:val="24"/>
          <w:lang w:eastAsia="ru-RU"/>
        </w:rPr>
        <w:t>:</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Необходимость возвращения долга и обслуживания долга (т.е. выплаты как</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самой суммы долга, так и процентов по долгу)</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Невозможность построения финансовой пирамиды для выплаты внешнего</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hyperlink r:id="rId5" w:history="1">
        <w:r w:rsidRPr="00165C1A">
          <w:rPr>
            <w:rFonts w:ascii="inherit" w:eastAsia="Times New Roman" w:hAnsi="inherit" w:cs="Arial"/>
            <w:color w:val="0D6F8F"/>
            <w:sz w:val="24"/>
            <w:szCs w:val="24"/>
            <w:u w:val="single"/>
            <w:lang w:eastAsia="ru-RU"/>
          </w:rPr>
          <w:t xml:space="preserve">5 Моделирование производства кристаллов бис и </w:t>
        </w:r>
        <w:proofErr w:type="spellStart"/>
        <w:r w:rsidRPr="00165C1A">
          <w:rPr>
            <w:rFonts w:ascii="inherit" w:eastAsia="Times New Roman" w:hAnsi="inherit" w:cs="Arial"/>
            <w:color w:val="0D6F8F"/>
            <w:sz w:val="24"/>
            <w:szCs w:val="24"/>
            <w:u w:val="single"/>
            <w:lang w:eastAsia="ru-RU"/>
          </w:rPr>
          <w:t>сис</w:t>
        </w:r>
        <w:proofErr w:type="spellEnd"/>
      </w:hyperlink>
      <w:r w:rsidRPr="00165C1A">
        <w:rPr>
          <w:rFonts w:ascii="inherit" w:eastAsia="Times New Roman" w:hAnsi="inherit" w:cs="Arial"/>
          <w:color w:val="094153"/>
          <w:sz w:val="24"/>
          <w:szCs w:val="24"/>
          <w:lang w:eastAsia="ru-RU"/>
        </w:rPr>
        <w:t> - лекция, которая пользуется популярностью у тех, кто читал эту лекцию.</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долга</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Необходимость отвлечения средств из экономики страны для выплаты</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внешнего долга и его обслуживания, что ведет к сокращению внутреннего объема производства и спаду в экономике</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При дефиците платежного баланса возможность истощения</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золотовалютных резервов страны</w:t>
      </w:r>
    </w:p>
    <w:p w:rsid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sidRPr="00165C1A">
        <w:rPr>
          <w:rFonts w:ascii="inherit" w:eastAsia="Times New Roman" w:hAnsi="inherit" w:cs="Arial"/>
          <w:color w:val="094153"/>
          <w:sz w:val="24"/>
          <w:szCs w:val="24"/>
          <w:lang w:eastAsia="ru-RU"/>
        </w:rPr>
        <w:t>         Итак, все три способа финансирования дефицита государственного бюджета имеют свои достоинства и недостатки.</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b/>
          <w:color w:val="094153"/>
          <w:sz w:val="28"/>
          <w:szCs w:val="28"/>
          <w:lang w:eastAsia="ru-RU"/>
        </w:rPr>
      </w:pPr>
      <w:r w:rsidRPr="00165C1A">
        <w:rPr>
          <w:rFonts w:ascii="inherit" w:eastAsia="Times New Roman" w:hAnsi="inherit" w:cs="Arial"/>
          <w:b/>
          <w:color w:val="094153"/>
          <w:sz w:val="28"/>
          <w:szCs w:val="28"/>
          <w:lang w:eastAsia="ru-RU"/>
        </w:rPr>
        <w:t>Вопросы для СРС письменно:</w:t>
      </w:r>
    </w:p>
    <w:p w:rsidR="00165C1A" w:rsidRDefault="00165C1A" w:rsidP="00165C1A">
      <w:pPr>
        <w:pStyle w:val="a5"/>
        <w:numPr>
          <w:ilvl w:val="0"/>
          <w:numId w:val="3"/>
        </w:numPr>
        <w:shd w:val="clear" w:color="auto" w:fill="FFFFFF"/>
        <w:spacing w:after="0" w:line="450" w:lineRule="atLeast"/>
        <w:jc w:val="both"/>
        <w:textAlignment w:val="baseline"/>
        <w:rPr>
          <w:rFonts w:ascii="inherit" w:eastAsia="Times New Roman" w:hAnsi="inherit" w:cs="Arial"/>
          <w:color w:val="094153"/>
          <w:sz w:val="24"/>
          <w:szCs w:val="24"/>
          <w:lang w:eastAsia="ru-RU"/>
        </w:rPr>
      </w:pPr>
      <w:r>
        <w:rPr>
          <w:rFonts w:ascii="inherit" w:eastAsia="Times New Roman" w:hAnsi="inherit" w:cs="Arial"/>
          <w:color w:val="094153"/>
          <w:sz w:val="24"/>
          <w:szCs w:val="24"/>
          <w:lang w:eastAsia="ru-RU"/>
        </w:rPr>
        <w:t xml:space="preserve">Что такое </w:t>
      </w:r>
      <w:r w:rsidRPr="00165C1A">
        <w:rPr>
          <w:rFonts w:ascii="inherit" w:eastAsia="Times New Roman" w:hAnsi="inherit" w:cs="Arial"/>
          <w:color w:val="094153"/>
          <w:sz w:val="24"/>
          <w:szCs w:val="24"/>
          <w:lang w:eastAsia="ru-RU"/>
        </w:rPr>
        <w:t xml:space="preserve">  эмиссии денег; </w:t>
      </w:r>
    </w:p>
    <w:p w:rsidR="00165C1A" w:rsidRDefault="00165C1A" w:rsidP="00165C1A">
      <w:pPr>
        <w:pStyle w:val="a5"/>
        <w:numPr>
          <w:ilvl w:val="0"/>
          <w:numId w:val="3"/>
        </w:numPr>
        <w:shd w:val="clear" w:color="auto" w:fill="FFFFFF"/>
        <w:spacing w:after="0" w:line="450" w:lineRule="atLeast"/>
        <w:jc w:val="both"/>
        <w:textAlignment w:val="baseline"/>
        <w:rPr>
          <w:rFonts w:ascii="inherit" w:eastAsia="Times New Roman" w:hAnsi="inherit" w:cs="Arial"/>
          <w:color w:val="094153"/>
          <w:sz w:val="24"/>
          <w:szCs w:val="24"/>
          <w:lang w:eastAsia="ru-RU"/>
        </w:rPr>
      </w:pPr>
      <w:r>
        <w:rPr>
          <w:rFonts w:ascii="inherit" w:eastAsia="Times New Roman" w:hAnsi="inherit" w:cs="Arial"/>
          <w:color w:val="094153"/>
          <w:sz w:val="24"/>
          <w:szCs w:val="24"/>
          <w:lang w:eastAsia="ru-RU"/>
        </w:rPr>
        <w:t xml:space="preserve">Что это </w:t>
      </w:r>
      <w:proofErr w:type="gramStart"/>
      <w:r>
        <w:rPr>
          <w:rFonts w:ascii="inherit" w:eastAsia="Times New Roman" w:hAnsi="inherit" w:cs="Arial"/>
          <w:color w:val="094153"/>
          <w:sz w:val="24"/>
          <w:szCs w:val="24"/>
          <w:lang w:eastAsia="ru-RU"/>
        </w:rPr>
        <w:t xml:space="preserve">обозначает </w:t>
      </w:r>
      <w:r w:rsidRPr="00165C1A">
        <w:rPr>
          <w:rFonts w:ascii="inherit" w:eastAsia="Times New Roman" w:hAnsi="inherit" w:cs="Arial"/>
          <w:color w:val="094153"/>
          <w:sz w:val="24"/>
          <w:szCs w:val="24"/>
          <w:lang w:eastAsia="ru-RU"/>
        </w:rPr>
        <w:t xml:space="preserve"> за</w:t>
      </w:r>
      <w:proofErr w:type="gramEnd"/>
      <w:r w:rsidRPr="00165C1A">
        <w:rPr>
          <w:rFonts w:ascii="inherit" w:eastAsia="Times New Roman" w:hAnsi="inherit" w:cs="Arial"/>
          <w:color w:val="094153"/>
          <w:sz w:val="24"/>
          <w:szCs w:val="24"/>
          <w:lang w:eastAsia="ru-RU"/>
        </w:rPr>
        <w:t xml:space="preserve"> счет займа у населения своей страны (внутренний долг)</w:t>
      </w:r>
      <w:r>
        <w:rPr>
          <w:rFonts w:ascii="inherit" w:eastAsia="Times New Roman" w:hAnsi="inherit" w:cs="Arial"/>
          <w:color w:val="094153"/>
          <w:sz w:val="24"/>
          <w:szCs w:val="24"/>
          <w:lang w:eastAsia="ru-RU"/>
        </w:rPr>
        <w:t>- примеры</w:t>
      </w:r>
      <w:r w:rsidRPr="00165C1A">
        <w:rPr>
          <w:rFonts w:ascii="inherit" w:eastAsia="Times New Roman" w:hAnsi="inherit" w:cs="Arial"/>
          <w:color w:val="094153"/>
          <w:sz w:val="24"/>
          <w:szCs w:val="24"/>
          <w:lang w:eastAsia="ru-RU"/>
        </w:rPr>
        <w:t xml:space="preserve">; </w:t>
      </w:r>
    </w:p>
    <w:p w:rsidR="00165C1A" w:rsidRPr="00165C1A" w:rsidRDefault="00165C1A" w:rsidP="00165C1A">
      <w:pPr>
        <w:pStyle w:val="a5"/>
        <w:numPr>
          <w:ilvl w:val="0"/>
          <w:numId w:val="3"/>
        </w:numPr>
        <w:shd w:val="clear" w:color="auto" w:fill="FFFFFF"/>
        <w:spacing w:after="0" w:line="450" w:lineRule="atLeast"/>
        <w:jc w:val="both"/>
        <w:textAlignment w:val="baseline"/>
        <w:rPr>
          <w:rFonts w:ascii="inherit" w:eastAsia="Times New Roman" w:hAnsi="inherit" w:cs="Arial"/>
          <w:color w:val="094153"/>
          <w:sz w:val="24"/>
          <w:szCs w:val="24"/>
          <w:lang w:eastAsia="ru-RU"/>
        </w:rPr>
      </w:pPr>
      <w:r>
        <w:rPr>
          <w:rFonts w:ascii="inherit" w:eastAsia="Times New Roman" w:hAnsi="inherit" w:cs="Arial"/>
          <w:color w:val="094153"/>
          <w:sz w:val="24"/>
          <w:szCs w:val="24"/>
          <w:lang w:eastAsia="ru-RU"/>
        </w:rPr>
        <w:t xml:space="preserve">Что это </w:t>
      </w:r>
      <w:proofErr w:type="spellStart"/>
      <w:r>
        <w:rPr>
          <w:rFonts w:ascii="inherit" w:eastAsia="Times New Roman" w:hAnsi="inherit" w:cs="Arial"/>
          <w:color w:val="094153"/>
          <w:sz w:val="24"/>
          <w:szCs w:val="24"/>
          <w:lang w:eastAsia="ru-RU"/>
        </w:rPr>
        <w:t>обознает</w:t>
      </w:r>
      <w:proofErr w:type="spellEnd"/>
      <w:r w:rsidRPr="00165C1A">
        <w:rPr>
          <w:rFonts w:ascii="inherit" w:eastAsia="Times New Roman" w:hAnsi="inherit" w:cs="Arial"/>
          <w:color w:val="094153"/>
          <w:sz w:val="24"/>
          <w:szCs w:val="24"/>
          <w:lang w:eastAsia="ru-RU"/>
        </w:rPr>
        <w:t xml:space="preserve"> за счет займа у других стран или международных финансовых организаций (внешний долг)</w:t>
      </w:r>
      <w:r>
        <w:rPr>
          <w:rFonts w:ascii="inherit" w:eastAsia="Times New Roman" w:hAnsi="inherit" w:cs="Arial"/>
          <w:color w:val="094153"/>
          <w:sz w:val="24"/>
          <w:szCs w:val="24"/>
          <w:lang w:eastAsia="ru-RU"/>
        </w:rPr>
        <w:t>- примеры</w:t>
      </w:r>
    </w:p>
    <w:p w:rsidR="00165C1A" w:rsidRPr="00165C1A" w:rsidRDefault="00165C1A" w:rsidP="00165C1A">
      <w:pPr>
        <w:shd w:val="clear" w:color="auto" w:fill="FFFFFF"/>
        <w:spacing w:after="0" w:line="450" w:lineRule="atLeast"/>
        <w:ind w:firstLine="450"/>
        <w:jc w:val="both"/>
        <w:textAlignment w:val="baseline"/>
        <w:rPr>
          <w:rFonts w:ascii="inherit" w:eastAsia="Times New Roman" w:hAnsi="inherit" w:cs="Arial"/>
          <w:color w:val="094153"/>
          <w:sz w:val="24"/>
          <w:szCs w:val="24"/>
          <w:lang w:eastAsia="ru-RU"/>
        </w:rPr>
      </w:pPr>
      <w:r>
        <w:rPr>
          <w:rFonts w:ascii="inherit" w:eastAsia="Times New Roman" w:hAnsi="inherit" w:cs="Arial"/>
          <w:color w:val="094153"/>
          <w:sz w:val="24"/>
          <w:szCs w:val="24"/>
          <w:lang w:eastAsia="ru-RU"/>
        </w:rPr>
        <w:t xml:space="preserve"> </w:t>
      </w:r>
      <w:bookmarkStart w:id="0" w:name="_GoBack"/>
      <w:bookmarkEnd w:id="0"/>
    </w:p>
    <w:sectPr w:rsidR="00165C1A" w:rsidRPr="00165C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2F6E60"/>
    <w:multiLevelType w:val="hybridMultilevel"/>
    <w:tmpl w:val="1E7CE4FA"/>
    <w:lvl w:ilvl="0" w:tplc="3AE4B3B0">
      <w:start w:val="1"/>
      <w:numFmt w:val="decimal"/>
      <w:lvlText w:val="%1)"/>
      <w:lvlJc w:val="left"/>
      <w:pPr>
        <w:ind w:left="870" w:hanging="360"/>
      </w:pPr>
      <w:rPr>
        <w:rFonts w:hint="default"/>
      </w:rPr>
    </w:lvl>
    <w:lvl w:ilvl="1" w:tplc="04190019" w:tentative="1">
      <w:start w:val="1"/>
      <w:numFmt w:val="lowerLetter"/>
      <w:lvlText w:val="%2."/>
      <w:lvlJc w:val="left"/>
      <w:pPr>
        <w:ind w:left="1590" w:hanging="360"/>
      </w:pPr>
    </w:lvl>
    <w:lvl w:ilvl="2" w:tplc="0419001B" w:tentative="1">
      <w:start w:val="1"/>
      <w:numFmt w:val="lowerRoman"/>
      <w:lvlText w:val="%3."/>
      <w:lvlJc w:val="right"/>
      <w:pPr>
        <w:ind w:left="2310" w:hanging="180"/>
      </w:pPr>
    </w:lvl>
    <w:lvl w:ilvl="3" w:tplc="0419000F" w:tentative="1">
      <w:start w:val="1"/>
      <w:numFmt w:val="decimal"/>
      <w:lvlText w:val="%4."/>
      <w:lvlJc w:val="left"/>
      <w:pPr>
        <w:ind w:left="3030" w:hanging="360"/>
      </w:pPr>
    </w:lvl>
    <w:lvl w:ilvl="4" w:tplc="04190019" w:tentative="1">
      <w:start w:val="1"/>
      <w:numFmt w:val="lowerLetter"/>
      <w:lvlText w:val="%5."/>
      <w:lvlJc w:val="left"/>
      <w:pPr>
        <w:ind w:left="3750" w:hanging="360"/>
      </w:pPr>
    </w:lvl>
    <w:lvl w:ilvl="5" w:tplc="0419001B" w:tentative="1">
      <w:start w:val="1"/>
      <w:numFmt w:val="lowerRoman"/>
      <w:lvlText w:val="%6."/>
      <w:lvlJc w:val="right"/>
      <w:pPr>
        <w:ind w:left="4470" w:hanging="180"/>
      </w:pPr>
    </w:lvl>
    <w:lvl w:ilvl="6" w:tplc="0419000F" w:tentative="1">
      <w:start w:val="1"/>
      <w:numFmt w:val="decimal"/>
      <w:lvlText w:val="%7."/>
      <w:lvlJc w:val="left"/>
      <w:pPr>
        <w:ind w:left="5190" w:hanging="360"/>
      </w:pPr>
    </w:lvl>
    <w:lvl w:ilvl="7" w:tplc="04190019" w:tentative="1">
      <w:start w:val="1"/>
      <w:numFmt w:val="lowerLetter"/>
      <w:lvlText w:val="%8."/>
      <w:lvlJc w:val="left"/>
      <w:pPr>
        <w:ind w:left="5910" w:hanging="360"/>
      </w:pPr>
    </w:lvl>
    <w:lvl w:ilvl="8" w:tplc="0419001B" w:tentative="1">
      <w:start w:val="1"/>
      <w:numFmt w:val="lowerRoman"/>
      <w:lvlText w:val="%9."/>
      <w:lvlJc w:val="right"/>
      <w:pPr>
        <w:ind w:left="6630" w:hanging="180"/>
      </w:pPr>
    </w:lvl>
  </w:abstractNum>
  <w:abstractNum w:abstractNumId="1" w15:restartNumberingAfterBreak="0">
    <w:nsid w:val="5EC2016A"/>
    <w:multiLevelType w:val="multilevel"/>
    <w:tmpl w:val="C8C49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6C14BC"/>
    <w:multiLevelType w:val="multilevel"/>
    <w:tmpl w:val="2E2E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2CA8"/>
    <w:rsid w:val="00165C1A"/>
    <w:rsid w:val="00354411"/>
    <w:rsid w:val="007A2C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12A96"/>
  <w15:chartTrackingRefBased/>
  <w15:docId w15:val="{DBA89F24-5083-4B01-8A83-C57209E71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165C1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65C1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65C1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65C1A"/>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165C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165C1A"/>
    <w:rPr>
      <w:color w:val="0000FF"/>
      <w:u w:val="single"/>
    </w:rPr>
  </w:style>
  <w:style w:type="character" w:customStyle="1" w:styleId="similar-file-price-old-price">
    <w:name w:val="similar-file-price-old-price"/>
    <w:basedOn w:val="a0"/>
    <w:rsid w:val="00165C1A"/>
  </w:style>
  <w:style w:type="character" w:customStyle="1" w:styleId="similar-file-price-discount">
    <w:name w:val="similar-file-price-discount"/>
    <w:basedOn w:val="a0"/>
    <w:rsid w:val="00165C1A"/>
  </w:style>
  <w:style w:type="character" w:customStyle="1" w:styleId="similar-file-price-text">
    <w:name w:val="similar-file-price-text"/>
    <w:basedOn w:val="a0"/>
    <w:rsid w:val="00165C1A"/>
  </w:style>
  <w:style w:type="character" w:customStyle="1" w:styleId="similar-file-price-number">
    <w:name w:val="similar-file-price-number"/>
    <w:basedOn w:val="a0"/>
    <w:rsid w:val="00165C1A"/>
  </w:style>
  <w:style w:type="paragraph" w:customStyle="1" w:styleId="ai-y-idea">
    <w:name w:val="ai-y-idea"/>
    <w:basedOn w:val="a"/>
    <w:rsid w:val="00165C1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165C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7148841">
      <w:bodyDiv w:val="1"/>
      <w:marLeft w:val="0"/>
      <w:marRight w:val="0"/>
      <w:marTop w:val="0"/>
      <w:marBottom w:val="0"/>
      <w:divBdr>
        <w:top w:val="none" w:sz="0" w:space="0" w:color="auto"/>
        <w:left w:val="none" w:sz="0" w:space="0" w:color="auto"/>
        <w:bottom w:val="none" w:sz="0" w:space="0" w:color="auto"/>
        <w:right w:val="none" w:sz="0" w:space="0" w:color="auto"/>
      </w:divBdr>
      <w:divsChild>
        <w:div w:id="392893293">
          <w:marLeft w:val="0"/>
          <w:marRight w:val="0"/>
          <w:marTop w:val="0"/>
          <w:marBottom w:val="150"/>
          <w:divBdr>
            <w:top w:val="none" w:sz="0" w:space="0" w:color="auto"/>
            <w:left w:val="none" w:sz="0" w:space="0" w:color="auto"/>
            <w:bottom w:val="none" w:sz="0" w:space="0" w:color="auto"/>
            <w:right w:val="none" w:sz="0" w:space="0" w:color="auto"/>
          </w:divBdr>
          <w:divsChild>
            <w:div w:id="518668455">
              <w:marLeft w:val="0"/>
              <w:marRight w:val="0"/>
              <w:marTop w:val="0"/>
              <w:marBottom w:val="0"/>
              <w:divBdr>
                <w:top w:val="none" w:sz="0" w:space="0" w:color="auto"/>
                <w:left w:val="none" w:sz="0" w:space="0" w:color="auto"/>
                <w:bottom w:val="none" w:sz="0" w:space="0" w:color="auto"/>
                <w:right w:val="none" w:sz="0" w:space="0" w:color="auto"/>
              </w:divBdr>
              <w:divsChild>
                <w:div w:id="361437249">
                  <w:marLeft w:val="0"/>
                  <w:marRight w:val="0"/>
                  <w:marTop w:val="0"/>
                  <w:marBottom w:val="0"/>
                  <w:divBdr>
                    <w:top w:val="none" w:sz="0" w:space="0" w:color="auto"/>
                    <w:left w:val="none" w:sz="0" w:space="0" w:color="auto"/>
                    <w:bottom w:val="none" w:sz="0" w:space="0" w:color="auto"/>
                    <w:right w:val="none" w:sz="0" w:space="0" w:color="auto"/>
                  </w:divBdr>
                </w:div>
                <w:div w:id="883754454">
                  <w:marLeft w:val="0"/>
                  <w:marRight w:val="0"/>
                  <w:marTop w:val="0"/>
                  <w:marBottom w:val="0"/>
                  <w:divBdr>
                    <w:top w:val="none" w:sz="0" w:space="0" w:color="auto"/>
                    <w:left w:val="none" w:sz="0" w:space="0" w:color="auto"/>
                    <w:bottom w:val="none" w:sz="0" w:space="0" w:color="auto"/>
                    <w:right w:val="none" w:sz="0" w:space="0" w:color="auto"/>
                  </w:divBdr>
                  <w:divsChild>
                    <w:div w:id="953557102">
                      <w:marLeft w:val="0"/>
                      <w:marRight w:val="0"/>
                      <w:marTop w:val="0"/>
                      <w:marBottom w:val="0"/>
                      <w:divBdr>
                        <w:top w:val="none" w:sz="0" w:space="0" w:color="auto"/>
                        <w:left w:val="none" w:sz="0" w:space="0" w:color="auto"/>
                        <w:bottom w:val="none" w:sz="0" w:space="0" w:color="auto"/>
                        <w:right w:val="none" w:sz="0" w:space="0" w:color="auto"/>
                      </w:divBdr>
                      <w:divsChild>
                        <w:div w:id="1144277539">
                          <w:marLeft w:val="0"/>
                          <w:marRight w:val="0"/>
                          <w:marTop w:val="0"/>
                          <w:marBottom w:val="0"/>
                          <w:divBdr>
                            <w:top w:val="none" w:sz="0" w:space="0" w:color="auto"/>
                            <w:left w:val="none" w:sz="0" w:space="0" w:color="auto"/>
                            <w:bottom w:val="none" w:sz="0" w:space="0" w:color="auto"/>
                            <w:right w:val="none" w:sz="0" w:space="0" w:color="auto"/>
                          </w:divBdr>
                        </w:div>
                        <w:div w:id="756439231">
                          <w:marLeft w:val="0"/>
                          <w:marRight w:val="0"/>
                          <w:marTop w:val="0"/>
                          <w:marBottom w:val="0"/>
                          <w:divBdr>
                            <w:top w:val="none" w:sz="0" w:space="0" w:color="auto"/>
                            <w:left w:val="none" w:sz="0" w:space="0" w:color="auto"/>
                            <w:bottom w:val="none" w:sz="0" w:space="0" w:color="auto"/>
                            <w:right w:val="none" w:sz="0" w:space="0" w:color="auto"/>
                          </w:divBdr>
                          <w:divsChild>
                            <w:div w:id="2136606528">
                              <w:marLeft w:val="0"/>
                              <w:marRight w:val="0"/>
                              <w:marTop w:val="0"/>
                              <w:marBottom w:val="0"/>
                              <w:divBdr>
                                <w:top w:val="none" w:sz="0" w:space="0" w:color="auto"/>
                                <w:left w:val="none" w:sz="0" w:space="0" w:color="auto"/>
                                <w:bottom w:val="none" w:sz="0" w:space="0" w:color="auto"/>
                                <w:right w:val="none" w:sz="0" w:space="0" w:color="auto"/>
                              </w:divBdr>
                            </w:div>
                            <w:div w:id="83519124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742587">
                  <w:marLeft w:val="0"/>
                  <w:marRight w:val="0"/>
                  <w:marTop w:val="0"/>
                  <w:marBottom w:val="0"/>
                  <w:divBdr>
                    <w:top w:val="none" w:sz="0" w:space="0" w:color="auto"/>
                    <w:left w:val="none" w:sz="0" w:space="0" w:color="auto"/>
                    <w:bottom w:val="none" w:sz="0" w:space="0" w:color="auto"/>
                    <w:right w:val="none" w:sz="0" w:space="0" w:color="auto"/>
                  </w:divBdr>
                  <w:divsChild>
                    <w:div w:id="1859611707">
                      <w:marLeft w:val="0"/>
                      <w:marRight w:val="0"/>
                      <w:marTop w:val="0"/>
                      <w:marBottom w:val="0"/>
                      <w:divBdr>
                        <w:top w:val="none" w:sz="0" w:space="0" w:color="auto"/>
                        <w:left w:val="none" w:sz="0" w:space="0" w:color="auto"/>
                        <w:bottom w:val="none" w:sz="0" w:space="0" w:color="auto"/>
                        <w:right w:val="none" w:sz="0" w:space="0" w:color="auto"/>
                      </w:divBdr>
                      <w:divsChild>
                        <w:div w:id="1546403818">
                          <w:marLeft w:val="0"/>
                          <w:marRight w:val="0"/>
                          <w:marTop w:val="0"/>
                          <w:marBottom w:val="0"/>
                          <w:divBdr>
                            <w:top w:val="none" w:sz="0" w:space="0" w:color="auto"/>
                            <w:left w:val="none" w:sz="0" w:space="0" w:color="auto"/>
                            <w:bottom w:val="none" w:sz="0" w:space="0" w:color="auto"/>
                            <w:right w:val="none" w:sz="0" w:space="0" w:color="auto"/>
                          </w:divBdr>
                        </w:div>
                        <w:div w:id="1509373141">
                          <w:marLeft w:val="0"/>
                          <w:marRight w:val="0"/>
                          <w:marTop w:val="0"/>
                          <w:marBottom w:val="0"/>
                          <w:divBdr>
                            <w:top w:val="none" w:sz="0" w:space="0" w:color="auto"/>
                            <w:left w:val="none" w:sz="0" w:space="0" w:color="auto"/>
                            <w:bottom w:val="none" w:sz="0" w:space="0" w:color="auto"/>
                            <w:right w:val="none" w:sz="0" w:space="0" w:color="auto"/>
                          </w:divBdr>
                          <w:divsChild>
                            <w:div w:id="403451260">
                              <w:marLeft w:val="0"/>
                              <w:marRight w:val="0"/>
                              <w:marTop w:val="0"/>
                              <w:marBottom w:val="0"/>
                              <w:divBdr>
                                <w:top w:val="none" w:sz="0" w:space="0" w:color="auto"/>
                                <w:left w:val="none" w:sz="0" w:space="0" w:color="auto"/>
                                <w:bottom w:val="none" w:sz="0" w:space="0" w:color="auto"/>
                                <w:right w:val="none" w:sz="0" w:space="0" w:color="auto"/>
                              </w:divBdr>
                            </w:div>
                            <w:div w:id="1738699056">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23447">
                  <w:marLeft w:val="0"/>
                  <w:marRight w:val="0"/>
                  <w:marTop w:val="0"/>
                  <w:marBottom w:val="0"/>
                  <w:divBdr>
                    <w:top w:val="none" w:sz="0" w:space="0" w:color="auto"/>
                    <w:left w:val="none" w:sz="0" w:space="0" w:color="auto"/>
                    <w:bottom w:val="none" w:sz="0" w:space="0" w:color="auto"/>
                    <w:right w:val="none" w:sz="0" w:space="0" w:color="auto"/>
                  </w:divBdr>
                  <w:divsChild>
                    <w:div w:id="982657284">
                      <w:marLeft w:val="0"/>
                      <w:marRight w:val="0"/>
                      <w:marTop w:val="0"/>
                      <w:marBottom w:val="0"/>
                      <w:divBdr>
                        <w:top w:val="none" w:sz="0" w:space="0" w:color="auto"/>
                        <w:left w:val="none" w:sz="0" w:space="0" w:color="auto"/>
                        <w:bottom w:val="none" w:sz="0" w:space="0" w:color="auto"/>
                        <w:right w:val="none" w:sz="0" w:space="0" w:color="auto"/>
                      </w:divBdr>
                      <w:divsChild>
                        <w:div w:id="811870787">
                          <w:marLeft w:val="0"/>
                          <w:marRight w:val="0"/>
                          <w:marTop w:val="0"/>
                          <w:marBottom w:val="0"/>
                          <w:divBdr>
                            <w:top w:val="none" w:sz="0" w:space="0" w:color="auto"/>
                            <w:left w:val="none" w:sz="0" w:space="0" w:color="auto"/>
                            <w:bottom w:val="none" w:sz="0" w:space="0" w:color="auto"/>
                            <w:right w:val="none" w:sz="0" w:space="0" w:color="auto"/>
                          </w:divBdr>
                        </w:div>
                        <w:div w:id="597567445">
                          <w:marLeft w:val="0"/>
                          <w:marRight w:val="0"/>
                          <w:marTop w:val="0"/>
                          <w:marBottom w:val="0"/>
                          <w:divBdr>
                            <w:top w:val="none" w:sz="0" w:space="0" w:color="auto"/>
                            <w:left w:val="none" w:sz="0" w:space="0" w:color="auto"/>
                            <w:bottom w:val="none" w:sz="0" w:space="0" w:color="auto"/>
                            <w:right w:val="none" w:sz="0" w:space="0" w:color="auto"/>
                          </w:divBdr>
                          <w:divsChild>
                            <w:div w:id="2032679796">
                              <w:marLeft w:val="0"/>
                              <w:marRight w:val="0"/>
                              <w:marTop w:val="0"/>
                              <w:marBottom w:val="0"/>
                              <w:divBdr>
                                <w:top w:val="none" w:sz="0" w:space="0" w:color="auto"/>
                                <w:left w:val="none" w:sz="0" w:space="0" w:color="auto"/>
                                <w:bottom w:val="none" w:sz="0" w:space="0" w:color="auto"/>
                                <w:right w:val="none" w:sz="0" w:space="0" w:color="auto"/>
                              </w:divBdr>
                            </w:div>
                            <w:div w:id="1762525845">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173311">
                  <w:marLeft w:val="0"/>
                  <w:marRight w:val="0"/>
                  <w:marTop w:val="0"/>
                  <w:marBottom w:val="0"/>
                  <w:divBdr>
                    <w:top w:val="none" w:sz="0" w:space="0" w:color="auto"/>
                    <w:left w:val="none" w:sz="0" w:space="0" w:color="auto"/>
                    <w:bottom w:val="none" w:sz="0" w:space="0" w:color="auto"/>
                    <w:right w:val="none" w:sz="0" w:space="0" w:color="auto"/>
                  </w:divBdr>
                  <w:divsChild>
                    <w:div w:id="107479121">
                      <w:marLeft w:val="0"/>
                      <w:marRight w:val="0"/>
                      <w:marTop w:val="0"/>
                      <w:marBottom w:val="0"/>
                      <w:divBdr>
                        <w:top w:val="none" w:sz="0" w:space="0" w:color="auto"/>
                        <w:left w:val="none" w:sz="0" w:space="0" w:color="auto"/>
                        <w:bottom w:val="none" w:sz="0" w:space="0" w:color="auto"/>
                        <w:right w:val="none" w:sz="0" w:space="0" w:color="auto"/>
                      </w:divBdr>
                      <w:divsChild>
                        <w:div w:id="2069957069">
                          <w:marLeft w:val="0"/>
                          <w:marRight w:val="0"/>
                          <w:marTop w:val="0"/>
                          <w:marBottom w:val="0"/>
                          <w:divBdr>
                            <w:top w:val="none" w:sz="0" w:space="0" w:color="auto"/>
                            <w:left w:val="none" w:sz="0" w:space="0" w:color="auto"/>
                            <w:bottom w:val="none" w:sz="0" w:space="0" w:color="auto"/>
                            <w:right w:val="none" w:sz="0" w:space="0" w:color="auto"/>
                          </w:divBdr>
                        </w:div>
                        <w:div w:id="1268544470">
                          <w:marLeft w:val="0"/>
                          <w:marRight w:val="0"/>
                          <w:marTop w:val="0"/>
                          <w:marBottom w:val="0"/>
                          <w:divBdr>
                            <w:top w:val="none" w:sz="0" w:space="0" w:color="auto"/>
                            <w:left w:val="none" w:sz="0" w:space="0" w:color="auto"/>
                            <w:bottom w:val="none" w:sz="0" w:space="0" w:color="auto"/>
                            <w:right w:val="none" w:sz="0" w:space="0" w:color="auto"/>
                          </w:divBdr>
                          <w:divsChild>
                            <w:div w:id="719011133">
                              <w:marLeft w:val="0"/>
                              <w:marRight w:val="0"/>
                              <w:marTop w:val="0"/>
                              <w:marBottom w:val="0"/>
                              <w:divBdr>
                                <w:top w:val="none" w:sz="0" w:space="0" w:color="auto"/>
                                <w:left w:val="none" w:sz="0" w:space="0" w:color="auto"/>
                                <w:bottom w:val="none" w:sz="0" w:space="0" w:color="auto"/>
                                <w:right w:val="none" w:sz="0" w:space="0" w:color="auto"/>
                              </w:divBdr>
                            </w:div>
                            <w:div w:id="171011108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099627">
                  <w:marLeft w:val="0"/>
                  <w:marRight w:val="0"/>
                  <w:marTop w:val="0"/>
                  <w:marBottom w:val="0"/>
                  <w:divBdr>
                    <w:top w:val="none" w:sz="0" w:space="0" w:color="auto"/>
                    <w:left w:val="none" w:sz="0" w:space="0" w:color="auto"/>
                    <w:bottom w:val="none" w:sz="0" w:space="0" w:color="auto"/>
                    <w:right w:val="none" w:sz="0" w:space="0" w:color="auto"/>
                  </w:divBdr>
                  <w:divsChild>
                    <w:div w:id="21515498">
                      <w:marLeft w:val="0"/>
                      <w:marRight w:val="0"/>
                      <w:marTop w:val="0"/>
                      <w:marBottom w:val="0"/>
                      <w:divBdr>
                        <w:top w:val="none" w:sz="0" w:space="0" w:color="auto"/>
                        <w:left w:val="none" w:sz="0" w:space="0" w:color="auto"/>
                        <w:bottom w:val="none" w:sz="0" w:space="0" w:color="auto"/>
                        <w:right w:val="none" w:sz="0" w:space="0" w:color="auto"/>
                      </w:divBdr>
                      <w:divsChild>
                        <w:div w:id="1029649453">
                          <w:marLeft w:val="0"/>
                          <w:marRight w:val="0"/>
                          <w:marTop w:val="0"/>
                          <w:marBottom w:val="0"/>
                          <w:divBdr>
                            <w:top w:val="none" w:sz="0" w:space="0" w:color="auto"/>
                            <w:left w:val="none" w:sz="0" w:space="0" w:color="auto"/>
                            <w:bottom w:val="none" w:sz="0" w:space="0" w:color="auto"/>
                            <w:right w:val="none" w:sz="0" w:space="0" w:color="auto"/>
                          </w:divBdr>
                        </w:div>
                        <w:div w:id="213350675">
                          <w:marLeft w:val="0"/>
                          <w:marRight w:val="0"/>
                          <w:marTop w:val="0"/>
                          <w:marBottom w:val="0"/>
                          <w:divBdr>
                            <w:top w:val="none" w:sz="0" w:space="0" w:color="auto"/>
                            <w:left w:val="none" w:sz="0" w:space="0" w:color="auto"/>
                            <w:bottom w:val="none" w:sz="0" w:space="0" w:color="auto"/>
                            <w:right w:val="none" w:sz="0" w:space="0" w:color="auto"/>
                          </w:divBdr>
                          <w:divsChild>
                            <w:div w:id="1891113909">
                              <w:marLeft w:val="0"/>
                              <w:marRight w:val="0"/>
                              <w:marTop w:val="0"/>
                              <w:marBottom w:val="0"/>
                              <w:divBdr>
                                <w:top w:val="none" w:sz="0" w:space="0" w:color="auto"/>
                                <w:left w:val="none" w:sz="0" w:space="0" w:color="auto"/>
                                <w:bottom w:val="none" w:sz="0" w:space="0" w:color="auto"/>
                                <w:right w:val="none" w:sz="0" w:space="0" w:color="auto"/>
                              </w:divBdr>
                            </w:div>
                            <w:div w:id="117664979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628630">
                  <w:marLeft w:val="0"/>
                  <w:marRight w:val="0"/>
                  <w:marTop w:val="0"/>
                  <w:marBottom w:val="0"/>
                  <w:divBdr>
                    <w:top w:val="none" w:sz="0" w:space="0" w:color="auto"/>
                    <w:left w:val="none" w:sz="0" w:space="0" w:color="auto"/>
                    <w:bottom w:val="none" w:sz="0" w:space="0" w:color="auto"/>
                    <w:right w:val="none" w:sz="0" w:space="0" w:color="auto"/>
                  </w:divBdr>
                  <w:divsChild>
                    <w:div w:id="1252351112">
                      <w:marLeft w:val="0"/>
                      <w:marRight w:val="0"/>
                      <w:marTop w:val="0"/>
                      <w:marBottom w:val="0"/>
                      <w:divBdr>
                        <w:top w:val="none" w:sz="0" w:space="0" w:color="auto"/>
                        <w:left w:val="none" w:sz="0" w:space="0" w:color="auto"/>
                        <w:bottom w:val="none" w:sz="0" w:space="0" w:color="auto"/>
                        <w:right w:val="none" w:sz="0" w:space="0" w:color="auto"/>
                      </w:divBdr>
                      <w:divsChild>
                        <w:div w:id="910891849">
                          <w:marLeft w:val="0"/>
                          <w:marRight w:val="0"/>
                          <w:marTop w:val="0"/>
                          <w:marBottom w:val="0"/>
                          <w:divBdr>
                            <w:top w:val="none" w:sz="0" w:space="0" w:color="auto"/>
                            <w:left w:val="none" w:sz="0" w:space="0" w:color="auto"/>
                            <w:bottom w:val="none" w:sz="0" w:space="0" w:color="auto"/>
                            <w:right w:val="none" w:sz="0" w:space="0" w:color="auto"/>
                          </w:divBdr>
                        </w:div>
                        <w:div w:id="863056214">
                          <w:marLeft w:val="0"/>
                          <w:marRight w:val="0"/>
                          <w:marTop w:val="0"/>
                          <w:marBottom w:val="0"/>
                          <w:divBdr>
                            <w:top w:val="none" w:sz="0" w:space="0" w:color="auto"/>
                            <w:left w:val="none" w:sz="0" w:space="0" w:color="auto"/>
                            <w:bottom w:val="none" w:sz="0" w:space="0" w:color="auto"/>
                            <w:right w:val="none" w:sz="0" w:space="0" w:color="auto"/>
                          </w:divBdr>
                          <w:divsChild>
                            <w:div w:id="760218948">
                              <w:marLeft w:val="0"/>
                              <w:marRight w:val="0"/>
                              <w:marTop w:val="0"/>
                              <w:marBottom w:val="0"/>
                              <w:divBdr>
                                <w:top w:val="none" w:sz="0" w:space="0" w:color="auto"/>
                                <w:left w:val="none" w:sz="0" w:space="0" w:color="auto"/>
                                <w:bottom w:val="none" w:sz="0" w:space="0" w:color="auto"/>
                                <w:right w:val="none" w:sz="0" w:space="0" w:color="auto"/>
                              </w:divBdr>
                            </w:div>
                            <w:div w:id="150827247">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89379">
              <w:marLeft w:val="-300"/>
              <w:marRight w:val="-300"/>
              <w:marTop w:val="150"/>
              <w:marBottom w:val="150"/>
              <w:divBdr>
                <w:top w:val="single" w:sz="6" w:space="15" w:color="C5EBF8"/>
                <w:left w:val="none" w:sz="0" w:space="0" w:color="auto"/>
                <w:bottom w:val="none" w:sz="0" w:space="0" w:color="auto"/>
                <w:right w:val="none" w:sz="0" w:space="0" w:color="auto"/>
              </w:divBdr>
              <w:divsChild>
                <w:div w:id="1055006862">
                  <w:marLeft w:val="0"/>
                  <w:marRight w:val="0"/>
                  <w:marTop w:val="0"/>
                  <w:marBottom w:val="0"/>
                  <w:divBdr>
                    <w:top w:val="none" w:sz="0" w:space="0" w:color="auto"/>
                    <w:left w:val="none" w:sz="0" w:space="0" w:color="auto"/>
                    <w:bottom w:val="none" w:sz="0" w:space="0" w:color="auto"/>
                    <w:right w:val="none" w:sz="0" w:space="0" w:color="auto"/>
                  </w:divBdr>
                  <w:divsChild>
                    <w:div w:id="1255212858">
                      <w:marLeft w:val="0"/>
                      <w:marRight w:val="0"/>
                      <w:marTop w:val="0"/>
                      <w:marBottom w:val="0"/>
                      <w:divBdr>
                        <w:top w:val="none" w:sz="0" w:space="0" w:color="auto"/>
                        <w:left w:val="none" w:sz="0" w:space="0" w:color="auto"/>
                        <w:bottom w:val="none" w:sz="0" w:space="0" w:color="auto"/>
                        <w:right w:val="none" w:sz="0" w:space="0" w:color="auto"/>
                      </w:divBdr>
                      <w:divsChild>
                        <w:div w:id="5510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7091468">
          <w:marLeft w:val="0"/>
          <w:marRight w:val="0"/>
          <w:marTop w:val="300"/>
          <w:marBottom w:val="0"/>
          <w:divBdr>
            <w:top w:val="none" w:sz="0" w:space="0" w:color="auto"/>
            <w:left w:val="none" w:sz="0" w:space="0" w:color="auto"/>
            <w:bottom w:val="none" w:sz="0" w:space="0" w:color="auto"/>
            <w:right w:val="none" w:sz="0" w:space="0" w:color="auto"/>
          </w:divBdr>
          <w:divsChild>
            <w:div w:id="1563370358">
              <w:marLeft w:val="0"/>
              <w:marRight w:val="0"/>
              <w:marTop w:val="0"/>
              <w:marBottom w:val="0"/>
              <w:divBdr>
                <w:top w:val="none" w:sz="0" w:space="0" w:color="auto"/>
                <w:left w:val="none" w:sz="0" w:space="0" w:color="auto"/>
                <w:bottom w:val="none" w:sz="0" w:space="0" w:color="auto"/>
                <w:right w:val="none" w:sz="0" w:space="0" w:color="auto"/>
              </w:divBdr>
            </w:div>
          </w:divsChild>
        </w:div>
        <w:div w:id="1859930533">
          <w:marLeft w:val="0"/>
          <w:marRight w:val="0"/>
          <w:marTop w:val="60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tudizba.com/lectures/129-inzhenerija/2017-sistemnoe-proektirovanie-proizvodstva-bis-i-sis/39348-5-modelirovanie-proizvodstva-kristallov-bis-i-sis.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1576</Words>
  <Characters>8987</Characters>
  <Application>Microsoft Office Word</Application>
  <DocSecurity>0</DocSecurity>
  <Lines>74</Lines>
  <Paragraphs>21</Paragraphs>
  <ScaleCrop>false</ScaleCrop>
  <Company/>
  <LinksUpToDate>false</LinksUpToDate>
  <CharactersWithSpaces>10542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2025-09-30T06:28:00Z</dcterms:created>
  <dcterms:modified xsi:type="dcterms:W3CDTF">2025-09-30T06:33:00Z</dcterms:modified>
</cp:coreProperties>
</file>